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0AD2" w:rsidRPr="00E50AD2" w:rsidRDefault="00E50AD2" w:rsidP="00E50AD2">
      <w:pPr>
        <w:spacing w:after="240" w:line="240" w:lineRule="auto"/>
        <w:jc w:val="center"/>
        <w:rPr>
          <w:rFonts w:ascii="Calibri" w:eastAsia="Times New Roman" w:hAnsi="Calibri" w:cs="Calibri"/>
          <w:b/>
          <w:bCs/>
        </w:rPr>
      </w:pPr>
      <w:r w:rsidRPr="00E50AD2">
        <w:rPr>
          <w:rFonts w:ascii="Calibri" w:eastAsia="Times New Roman" w:hAnsi="Calibri" w:cs="Calibri"/>
          <w:b/>
          <w:bCs/>
        </w:rPr>
        <w:t>Diet composition of Kawakawa (</w:t>
      </w:r>
      <w:proofErr w:type="spellStart"/>
      <w:r w:rsidRPr="00E50AD2">
        <w:rPr>
          <w:rFonts w:ascii="Calibri" w:eastAsia="Times New Roman" w:hAnsi="Calibri" w:cs="Calibri"/>
          <w:b/>
          <w:bCs/>
        </w:rPr>
        <w:t>Euthynnus</w:t>
      </w:r>
      <w:proofErr w:type="spellEnd"/>
      <w:r w:rsidRPr="00E50AD2">
        <w:rPr>
          <w:rFonts w:ascii="Calibri" w:eastAsia="Times New Roman" w:hAnsi="Calibri" w:cs="Calibri"/>
          <w:b/>
          <w:bCs/>
        </w:rPr>
        <w:t xml:space="preserve"> </w:t>
      </w:r>
      <w:proofErr w:type="spellStart"/>
      <w:r w:rsidRPr="00E50AD2">
        <w:rPr>
          <w:rFonts w:ascii="Calibri" w:eastAsia="Times New Roman" w:hAnsi="Calibri" w:cs="Calibri"/>
          <w:b/>
          <w:bCs/>
        </w:rPr>
        <w:t>affinis</w:t>
      </w:r>
      <w:proofErr w:type="spellEnd"/>
      <w:r w:rsidRPr="00E50AD2">
        <w:rPr>
          <w:rFonts w:ascii="Calibri" w:eastAsia="Times New Roman" w:hAnsi="Calibri" w:cs="Calibri"/>
          <w:b/>
          <w:bCs/>
        </w:rPr>
        <w:t>) in three major landing sites of Sri Lanka</w:t>
      </w:r>
    </w:p>
    <w:p w:rsidR="00E50AD2" w:rsidRPr="00E50AD2" w:rsidRDefault="00E50AD2" w:rsidP="00E50AD2">
      <w:pPr>
        <w:spacing w:after="0" w:line="240" w:lineRule="auto"/>
        <w:jc w:val="both"/>
        <w:rPr>
          <w:rFonts w:ascii="Calibri" w:eastAsia="Times New Roman" w:hAnsi="Calibri" w:cs="Calibri"/>
        </w:rPr>
      </w:pPr>
      <w:r w:rsidRPr="00E50AD2">
        <w:rPr>
          <w:rFonts w:ascii="Calibri" w:eastAsia="Times New Roman" w:hAnsi="Calibri" w:cs="Calibri"/>
        </w:rPr>
        <w:t>Information on the feeding habits of fish is important for understanding the ecological relationships of economically important species. Kawakawa (</w:t>
      </w:r>
      <w:proofErr w:type="spellStart"/>
      <w:r w:rsidRPr="00E50AD2">
        <w:rPr>
          <w:rFonts w:ascii="Calibri" w:eastAsia="Times New Roman" w:hAnsi="Calibri" w:cs="Calibri"/>
        </w:rPr>
        <w:t>Euthynnus</w:t>
      </w:r>
      <w:proofErr w:type="spellEnd"/>
      <w:r w:rsidRPr="00E50AD2">
        <w:rPr>
          <w:rFonts w:ascii="Calibri" w:eastAsia="Times New Roman" w:hAnsi="Calibri" w:cs="Calibri"/>
        </w:rPr>
        <w:t xml:space="preserve"> </w:t>
      </w:r>
      <w:proofErr w:type="spellStart"/>
      <w:r w:rsidRPr="00E50AD2">
        <w:rPr>
          <w:rFonts w:ascii="Calibri" w:eastAsia="Times New Roman" w:hAnsi="Calibri" w:cs="Calibri"/>
        </w:rPr>
        <w:t>affinis</w:t>
      </w:r>
      <w:proofErr w:type="spellEnd"/>
      <w:r w:rsidRPr="00E50AD2">
        <w:rPr>
          <w:rFonts w:ascii="Calibri" w:eastAsia="Times New Roman" w:hAnsi="Calibri" w:cs="Calibri"/>
        </w:rPr>
        <w:t xml:space="preserve">), is an economically important </w:t>
      </w:r>
      <w:proofErr w:type="spellStart"/>
      <w:r w:rsidRPr="00E50AD2">
        <w:rPr>
          <w:rFonts w:ascii="Calibri" w:eastAsia="Times New Roman" w:hAnsi="Calibri" w:cs="Calibri"/>
        </w:rPr>
        <w:t>neritic</w:t>
      </w:r>
      <w:proofErr w:type="spellEnd"/>
      <w:r w:rsidRPr="00E50AD2">
        <w:rPr>
          <w:rFonts w:ascii="Calibri" w:eastAsia="Times New Roman" w:hAnsi="Calibri" w:cs="Calibri"/>
        </w:rPr>
        <w:t xml:space="preserve"> tuna species targeted as a food fish in Sri Lanka. This study examined the feeding habits of Kawakawa, to provide baseline information for ecosystem based fisheries management. Specimens were collected from the </w:t>
      </w:r>
      <w:proofErr w:type="spellStart"/>
      <w:r w:rsidRPr="00E50AD2">
        <w:rPr>
          <w:rFonts w:ascii="Calibri" w:eastAsia="Times New Roman" w:hAnsi="Calibri" w:cs="Calibri"/>
        </w:rPr>
        <w:t>Negombo</w:t>
      </w:r>
      <w:proofErr w:type="spellEnd"/>
      <w:r w:rsidRPr="00E50AD2">
        <w:rPr>
          <w:rFonts w:ascii="Calibri" w:eastAsia="Times New Roman" w:hAnsi="Calibri" w:cs="Calibri"/>
        </w:rPr>
        <w:t xml:space="preserve">, </w:t>
      </w:r>
      <w:proofErr w:type="spellStart"/>
      <w:r w:rsidRPr="00E50AD2">
        <w:rPr>
          <w:rFonts w:ascii="Calibri" w:eastAsia="Times New Roman" w:hAnsi="Calibri" w:cs="Calibri"/>
        </w:rPr>
        <w:t>Beruwela</w:t>
      </w:r>
      <w:proofErr w:type="spellEnd"/>
      <w:r w:rsidRPr="00E50AD2">
        <w:rPr>
          <w:rFonts w:ascii="Calibri" w:eastAsia="Times New Roman" w:hAnsi="Calibri" w:cs="Calibri"/>
        </w:rPr>
        <w:t xml:space="preserve"> and </w:t>
      </w:r>
      <w:proofErr w:type="spellStart"/>
      <w:r w:rsidRPr="00E50AD2">
        <w:rPr>
          <w:rFonts w:ascii="Calibri" w:eastAsia="Times New Roman" w:hAnsi="Calibri" w:cs="Calibri"/>
        </w:rPr>
        <w:t>Chilaw</w:t>
      </w:r>
      <w:proofErr w:type="spellEnd"/>
      <w:r w:rsidRPr="00E50AD2">
        <w:rPr>
          <w:rFonts w:ascii="Calibri" w:eastAsia="Times New Roman" w:hAnsi="Calibri" w:cs="Calibri"/>
        </w:rPr>
        <w:t xml:space="preserve"> landing sites from September 2015 to January 2016. A total of 42 fish (21.4 to 50.4 cm total length and 116.7 to 2,228 g) were collected. All samples were collected from single-day boats, which had been fishing around the offshore areas of the sites studied. The stomach contents of specimens mainly consisted of fish (33.3 %), shrimp (19.0 %), a combination of fish and shrimp (14.3%), and a combination of shrimp and cephalopods (7.2 %). The stomach contents of three of the fish contained other debris such as plastic and leaves. In all, 26 % of stomachs were empty. The fish species that Kawakawa had been feeding on were anchovies and herrings. The larger size fish have been feeding more on small fish than on other food types and the largest number of empty stomachs were observed in the size range 20.1 to 30 cm. The study indicates that Kawakawa are non-selective feeders, feeding on any food item available in the surrounding waters. The presence of plastic in the stomachs of these fish indicates that the coastal waters in the study area are polluted. Further, studies are needed to determine the consequences of this on the physiological health of kawakawa.</w:t>
      </w:r>
    </w:p>
    <w:p w:rsidR="005C5138" w:rsidRPr="00E50AD2" w:rsidRDefault="005C5138"/>
    <w:p w:rsidR="00E50AD2" w:rsidRPr="00E50AD2" w:rsidRDefault="00E50AD2" w:rsidP="00E50AD2">
      <w:r w:rsidRPr="00E50AD2">
        <w:t>Keywords</w:t>
      </w:r>
      <w:r w:rsidRPr="00E50AD2">
        <w:tab/>
        <w:t>:</w:t>
      </w:r>
    </w:p>
    <w:p w:rsidR="00E50AD2" w:rsidRPr="00E50AD2" w:rsidRDefault="00E50AD2" w:rsidP="00E50AD2">
      <w:pPr>
        <w:rPr>
          <w:rFonts w:ascii="Calibri" w:eastAsia="Times New Roman" w:hAnsi="Calibri" w:cs="Calibri"/>
        </w:rPr>
      </w:pPr>
      <w:r w:rsidRPr="00E50AD2">
        <w:t>Citation</w:t>
      </w:r>
      <w:r w:rsidRPr="00E50AD2">
        <w:tab/>
      </w:r>
      <w:r w:rsidRPr="00E50AD2">
        <w:tab/>
        <w:t>:</w:t>
      </w:r>
      <w:r w:rsidRPr="00E50AD2">
        <w:tab/>
      </w:r>
      <w:r w:rsidRPr="00E50AD2">
        <w:rPr>
          <w:rFonts w:ascii="Calibri" w:eastAsia="Times New Roman" w:hAnsi="Calibri" w:cs="Calibri"/>
        </w:rPr>
        <w:t xml:space="preserve">D.R. </w:t>
      </w:r>
      <w:proofErr w:type="spellStart"/>
      <w:r w:rsidRPr="00E50AD2">
        <w:rPr>
          <w:rFonts w:ascii="Calibri" w:eastAsia="Times New Roman" w:hAnsi="Calibri" w:cs="Calibri"/>
        </w:rPr>
        <w:t>Herath</w:t>
      </w:r>
      <w:proofErr w:type="spellEnd"/>
      <w:r w:rsidRPr="00E50AD2">
        <w:rPr>
          <w:rFonts w:ascii="Calibri" w:eastAsia="Times New Roman" w:hAnsi="Calibri" w:cs="Calibri"/>
        </w:rPr>
        <w:t xml:space="preserve">, H.A.C.C. Perera1, G.H.C.M. </w:t>
      </w:r>
      <w:proofErr w:type="spellStart"/>
      <w:r w:rsidRPr="00E50AD2">
        <w:rPr>
          <w:rFonts w:ascii="Calibri" w:eastAsia="Times New Roman" w:hAnsi="Calibri" w:cs="Calibri"/>
        </w:rPr>
        <w:t>Hettiarachchi</w:t>
      </w:r>
      <w:proofErr w:type="spellEnd"/>
      <w:r w:rsidRPr="00E50AD2">
        <w:rPr>
          <w:rFonts w:ascii="Calibri" w:eastAsia="Times New Roman" w:hAnsi="Calibri" w:cs="Calibri"/>
        </w:rPr>
        <w:t xml:space="preserve"> and V.K. </w:t>
      </w:r>
      <w:proofErr w:type="spellStart"/>
      <w:r w:rsidRPr="00E50AD2">
        <w:rPr>
          <w:rFonts w:ascii="Calibri" w:eastAsia="Times New Roman" w:hAnsi="Calibri" w:cs="Calibri"/>
        </w:rPr>
        <w:t>Ranasinghe</w:t>
      </w:r>
      <w:proofErr w:type="spellEnd"/>
      <w:r w:rsidRPr="00E50AD2">
        <w:rPr>
          <w:rFonts w:ascii="Calibri" w:eastAsia="Times New Roman" w:hAnsi="Calibri" w:cs="Calibri"/>
        </w:rPr>
        <w:t>.</w:t>
      </w:r>
      <w:r w:rsidRPr="00E50AD2">
        <w:rPr>
          <w:rFonts w:ascii="Calibri" w:eastAsia="Times New Roman" w:hAnsi="Calibri" w:cs="Calibri"/>
        </w:rPr>
        <w:tab/>
      </w:r>
      <w:r w:rsidRPr="00E50AD2">
        <w:rPr>
          <w:rFonts w:ascii="Calibri" w:eastAsia="Times New Roman" w:hAnsi="Calibri" w:cs="Calibri"/>
        </w:rPr>
        <w:tab/>
      </w:r>
      <w:r w:rsidRPr="00E50AD2">
        <w:rPr>
          <w:rFonts w:ascii="Calibri" w:eastAsia="Times New Roman" w:hAnsi="Calibri" w:cs="Calibri"/>
        </w:rPr>
        <w:tab/>
      </w:r>
      <w:r w:rsidRPr="00E50AD2">
        <w:rPr>
          <w:rFonts w:ascii="Calibri" w:eastAsia="Times New Roman" w:hAnsi="Calibri" w:cs="Calibri"/>
        </w:rPr>
        <w:tab/>
        <w:t>(2016). Diet composition of Kawakawa (</w:t>
      </w:r>
      <w:proofErr w:type="spellStart"/>
      <w:r w:rsidRPr="00E50AD2">
        <w:rPr>
          <w:rFonts w:ascii="Calibri" w:eastAsia="Times New Roman" w:hAnsi="Calibri" w:cs="Calibri"/>
        </w:rPr>
        <w:t>Euthynnus</w:t>
      </w:r>
      <w:proofErr w:type="spellEnd"/>
      <w:r w:rsidRPr="00E50AD2">
        <w:rPr>
          <w:rFonts w:ascii="Calibri" w:eastAsia="Times New Roman" w:hAnsi="Calibri" w:cs="Calibri"/>
        </w:rPr>
        <w:t xml:space="preserve"> </w:t>
      </w:r>
      <w:proofErr w:type="spellStart"/>
      <w:r w:rsidRPr="00E50AD2">
        <w:rPr>
          <w:rFonts w:ascii="Calibri" w:eastAsia="Times New Roman" w:hAnsi="Calibri" w:cs="Calibri"/>
        </w:rPr>
        <w:t>affinis</w:t>
      </w:r>
      <w:proofErr w:type="spellEnd"/>
      <w:r w:rsidRPr="00E50AD2">
        <w:rPr>
          <w:rFonts w:ascii="Calibri" w:eastAsia="Times New Roman" w:hAnsi="Calibri" w:cs="Calibri"/>
        </w:rPr>
        <w:t>) in three major landing</w:t>
      </w:r>
      <w:r w:rsidRPr="00E50AD2">
        <w:rPr>
          <w:rFonts w:ascii="Calibri" w:eastAsia="Times New Roman" w:hAnsi="Calibri" w:cs="Calibri"/>
        </w:rPr>
        <w:tab/>
      </w:r>
      <w:r w:rsidRPr="00E50AD2">
        <w:rPr>
          <w:rFonts w:ascii="Calibri" w:eastAsia="Times New Roman" w:hAnsi="Calibri" w:cs="Calibri"/>
        </w:rPr>
        <w:tab/>
      </w:r>
      <w:r w:rsidRPr="00E50AD2">
        <w:rPr>
          <w:rFonts w:ascii="Calibri" w:eastAsia="Times New Roman" w:hAnsi="Calibri" w:cs="Calibri"/>
        </w:rPr>
        <w:tab/>
      </w:r>
      <w:r w:rsidRPr="00E50AD2">
        <w:rPr>
          <w:rFonts w:ascii="Calibri" w:eastAsia="Times New Roman" w:hAnsi="Calibri" w:cs="Calibri"/>
        </w:rPr>
        <w:tab/>
        <w:t>sites of Sri Lanka, Proceedings of the National Aquatic Resources Research and</w:t>
      </w:r>
      <w:r w:rsidRPr="00E50AD2">
        <w:rPr>
          <w:rFonts w:ascii="Calibri" w:eastAsia="Times New Roman" w:hAnsi="Calibri" w:cs="Calibri"/>
        </w:rPr>
        <w:tab/>
      </w:r>
      <w:r w:rsidRPr="00E50AD2">
        <w:rPr>
          <w:rFonts w:ascii="Calibri" w:eastAsia="Times New Roman" w:hAnsi="Calibri" w:cs="Calibri"/>
        </w:rPr>
        <w:tab/>
      </w:r>
      <w:r w:rsidRPr="00E50AD2">
        <w:rPr>
          <w:rFonts w:ascii="Calibri" w:eastAsia="Times New Roman" w:hAnsi="Calibri" w:cs="Calibri"/>
        </w:rPr>
        <w:tab/>
      </w:r>
      <w:r w:rsidRPr="00E50AD2">
        <w:rPr>
          <w:rFonts w:ascii="Calibri" w:eastAsia="Times New Roman" w:hAnsi="Calibri" w:cs="Calibri"/>
        </w:rPr>
        <w:tab/>
        <w:t>Development Agency (NARA), Scientific Sessions 2016</w:t>
      </w:r>
    </w:p>
    <w:p w:rsidR="00E50AD2" w:rsidRDefault="00E50AD2" w:rsidP="00E50AD2"/>
    <w:sectPr w:rsidR="00E50AD2" w:rsidSect="005C513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E50AD2"/>
    <w:rsid w:val="005C5138"/>
    <w:rsid w:val="00E50AD2"/>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1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69572963">
      <w:bodyDiv w:val="1"/>
      <w:marLeft w:val="0"/>
      <w:marRight w:val="0"/>
      <w:marTop w:val="0"/>
      <w:marBottom w:val="0"/>
      <w:divBdr>
        <w:top w:val="none" w:sz="0" w:space="0" w:color="auto"/>
        <w:left w:val="none" w:sz="0" w:space="0" w:color="auto"/>
        <w:bottom w:val="none" w:sz="0" w:space="0" w:color="auto"/>
        <w:right w:val="none" w:sz="0" w:space="0" w:color="auto"/>
      </w:divBdr>
    </w:div>
    <w:div w:id="1207526376">
      <w:bodyDiv w:val="1"/>
      <w:marLeft w:val="0"/>
      <w:marRight w:val="0"/>
      <w:marTop w:val="0"/>
      <w:marBottom w:val="0"/>
      <w:divBdr>
        <w:top w:val="none" w:sz="0" w:space="0" w:color="auto"/>
        <w:left w:val="none" w:sz="0" w:space="0" w:color="auto"/>
        <w:bottom w:val="none" w:sz="0" w:space="0" w:color="auto"/>
        <w:right w:val="none" w:sz="0" w:space="0" w:color="auto"/>
      </w:divBdr>
    </w:div>
    <w:div w:id="168704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302</Words>
  <Characters>1724</Characters>
  <Application>Microsoft Office Word</Application>
  <DocSecurity>0</DocSecurity>
  <Lines>14</Lines>
  <Paragraphs>4</Paragraphs>
  <ScaleCrop>false</ScaleCrop>
  <Company/>
  <LinksUpToDate>false</LinksUpToDate>
  <CharactersWithSpaces>2022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2017-06-12T09:52:00Z</dcterms:created>
  <dcterms:modified xsi:type="dcterms:W3CDTF">2017-06-12T09:54:00Z</dcterms:modified>
</cp:coreProperties>
</file>